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9C1452" w:rsidRPr="009C1452">
        <w:rPr>
          <w:b w:val="0"/>
          <w:sz w:val="24"/>
          <w:szCs w:val="24"/>
          <w:lang w:eastAsia="ca-ES"/>
        </w:rPr>
        <w:t>Ajuts per a projectes de recerca industrial i desenvolupament experimental per part de pimes que incloguin l’explotació d’una patent o llicència de patent adquirida d’una font externa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9C1452">
        <w:rPr>
          <w:b w:val="0"/>
          <w:sz w:val="24"/>
          <w:szCs w:val="24"/>
          <w:lang w:eastAsia="ca-ES"/>
        </w:rPr>
        <w:t>PAT</w:t>
      </w:r>
      <w:r w:rsidR="00E7253C">
        <w:rPr>
          <w:b w:val="0"/>
          <w:sz w:val="24"/>
          <w:szCs w:val="24"/>
          <w:lang w:eastAsia="ca-ES"/>
        </w:rPr>
        <w:t>15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9C1452" w:rsidRPr="009C1452" w:rsidRDefault="00C81BF0" w:rsidP="009C1452">
      <w:pPr>
        <w:autoSpaceDE w:val="0"/>
        <w:autoSpaceDN w:val="0"/>
        <w:adjustRightInd w:val="0"/>
        <w:spacing w:before="120" w:line="240" w:lineRule="auto"/>
        <w:jc w:val="left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C1452">
        <w:rPr>
          <w:b w:val="0"/>
          <w:sz w:val="24"/>
          <w:szCs w:val="24"/>
          <w:lang w:eastAsia="ca-ES"/>
        </w:rPr>
        <w:t xml:space="preserve">D’acord amb </w:t>
      </w:r>
      <w:r w:rsidR="006B01A0" w:rsidRPr="009C1452">
        <w:rPr>
          <w:b w:val="0"/>
          <w:sz w:val="24"/>
          <w:szCs w:val="24"/>
          <w:lang w:eastAsia="ca-ES"/>
        </w:rPr>
        <w:t xml:space="preserve">l’establert a la base </w:t>
      </w:r>
      <w:r w:rsidR="009C1452" w:rsidRPr="009C1452">
        <w:rPr>
          <w:b w:val="0"/>
          <w:sz w:val="24"/>
          <w:szCs w:val="24"/>
          <w:lang w:eastAsia="ca-ES"/>
        </w:rPr>
        <w:t>a l’Annex 3</w:t>
      </w:r>
      <w:r w:rsidR="003D53C9" w:rsidRPr="009C1452">
        <w:rPr>
          <w:b w:val="0"/>
          <w:sz w:val="24"/>
          <w:szCs w:val="24"/>
          <w:lang w:eastAsia="ca-ES"/>
        </w:rPr>
        <w:t xml:space="preserve"> </w:t>
      </w:r>
      <w:r w:rsidR="006B01A0" w:rsidRPr="009C1452">
        <w:rPr>
          <w:b w:val="0"/>
          <w:sz w:val="24"/>
          <w:szCs w:val="24"/>
          <w:lang w:eastAsia="ca-ES"/>
        </w:rPr>
        <w:t xml:space="preserve">de les bases reguladores Resolució </w:t>
      </w:r>
      <w:r w:rsidR="009C1452" w:rsidRPr="009C1452">
        <w:rPr>
          <w:b w:val="0"/>
          <w:sz w:val="24"/>
          <w:szCs w:val="24"/>
          <w:lang w:eastAsia="ca-ES"/>
        </w:rPr>
        <w:t>EMO/2352/2015</w:t>
      </w:r>
      <w:r w:rsidR="009C1452">
        <w:rPr>
          <w:b w:val="0"/>
          <w:sz w:val="24"/>
          <w:szCs w:val="24"/>
          <w:lang w:eastAsia="ca-ES"/>
        </w:rPr>
        <w:t xml:space="preserve"> </w:t>
      </w:r>
      <w:bookmarkStart w:id="0" w:name="_GoBack"/>
      <w:bookmarkEnd w:id="0"/>
      <w:r w:rsidR="009C1452" w:rsidRPr="009C1452">
        <w:rPr>
          <w:b w:val="0"/>
          <w:sz w:val="24"/>
          <w:szCs w:val="24"/>
          <w:lang w:eastAsia="ca-ES"/>
        </w:rPr>
        <w:t>de 15 d’octubre – DOGC núm. 6984 de 27.10.2015)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E7253C" w:rsidP="00E7253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  <w:tab w:val="left" w:pos="3545"/>
          <w:tab w:val="left" w:pos="4963"/>
        </w:tabs>
        <w:spacing w:after="0" w:line="288" w:lineRule="auto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91" w:rsidRDefault="002C7B91">
      <w:r>
        <w:separator/>
      </w:r>
    </w:p>
  </w:endnote>
  <w:endnote w:type="continuationSeparator" w:id="0">
    <w:p w:rsidR="002C7B91" w:rsidRDefault="002C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91" w:rsidRDefault="002C7B91">
      <w:r>
        <w:separator/>
      </w:r>
    </w:p>
  </w:footnote>
  <w:footnote w:type="continuationSeparator" w:id="0">
    <w:p w:rsidR="002C7B91" w:rsidRDefault="002C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2C7B91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1452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CF3547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253C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2017-01-30T13:20:00Z</dcterms:created>
  <dcterms:modified xsi:type="dcterms:W3CDTF">2017-01-30T13:20:00Z</dcterms:modified>
</cp:coreProperties>
</file>