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0A" w:rsidRDefault="00F2420A" w:rsidP="00F2420A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 w:rsidRPr="005B1513">
        <w:rPr>
          <w:rFonts w:asciiTheme="minorHAnsi" w:hAnsiTheme="minorHAnsi" w:cstheme="minorHAnsi"/>
          <w:sz w:val="28"/>
          <w:szCs w:val="28"/>
          <w:lang w:eastAsia="ca-ES"/>
        </w:rPr>
        <w:t xml:space="preserve">Línia d’ajut: Ajuts a nuclis de recerca industrial i desenvolupament experimental de component internacional </w:t>
      </w:r>
    </w:p>
    <w:p w:rsidR="00702CC7" w:rsidRPr="00702CC7" w:rsidRDefault="00702CC7" w:rsidP="00702CC7">
      <w:pPr>
        <w:rPr>
          <w:lang w:eastAsia="ca-ES"/>
        </w:rPr>
      </w:pPr>
    </w:p>
    <w:p w:rsidR="00F2420A" w:rsidRPr="005B1513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  <w:bookmarkStart w:id="0" w:name="_GoBack"/>
      <w:bookmarkEnd w:id="0"/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702CC7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RDINT19-   RDNET19-</w:t>
      </w: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702CC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702CC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6.6 de l’annex de les bases reguladores Resolució EMC/1620/2019, de 14 de juny (DOGC núm. 7901de 20.06.2019)).</w:t>
      </w:r>
    </w:p>
    <w:p w:rsidR="00F2420A" w:rsidRPr="005B1513" w:rsidRDefault="00F2420A" w:rsidP="00F2420A">
      <w:pPr>
        <w:spacing w:after="0" w:line="288" w:lineRule="auto"/>
        <w:jc w:val="left"/>
        <w:rPr>
          <w:rFonts w:asciiTheme="minorHAnsi" w:eastAsiaTheme="minorHAnsi" w:hAnsiTheme="minorHAnsi" w:cstheme="minorHAnsi"/>
          <w:b w:val="0"/>
          <w:i/>
          <w:sz w:val="28"/>
          <w:szCs w:val="28"/>
        </w:rPr>
      </w:pPr>
    </w:p>
    <w:p w:rsidR="00F2420A" w:rsidRDefault="00F2420A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702CC7">
      <w:pPr>
        <w:pBdr>
          <w:bottom w:val="single" w:sz="6" w:space="0" w:color="auto"/>
        </w:pBd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A" w:rsidRDefault="00F2420A">
      <w:r>
        <w:separator/>
      </w:r>
    </w:p>
  </w:endnote>
  <w:endnote w:type="continuationSeparator" w:id="0">
    <w:p w:rsidR="00F2420A" w:rsidRDefault="00F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A" w:rsidRDefault="00F2420A">
      <w:r>
        <w:separator/>
      </w:r>
    </w:p>
  </w:footnote>
  <w:footnote w:type="continuationSeparator" w:id="0">
    <w:p w:rsidR="00F2420A" w:rsidRDefault="00F2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0A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1513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02CC7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0A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9941F5"/>
  <w15:chartTrackingRefBased/>
  <w15:docId w15:val="{D9C3CAFC-4AC1-428D-85EB-0AF56C3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F242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Proveïdors 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Proveïdors </dc:title>
  <dc:subject/>
  <dc:creator>Generalitat de Catalunya - ACCIÓ </dc:creator>
  <cp:keywords>declaració, proveïdors, vinculació</cp:keywords>
  <dc:description/>
  <cp:lastModifiedBy>Mireia Raurell</cp:lastModifiedBy>
  <cp:revision>3</cp:revision>
  <cp:lastPrinted>2019-11-28T10:47:00Z</cp:lastPrinted>
  <dcterms:created xsi:type="dcterms:W3CDTF">2020-03-18T13:47:00Z</dcterms:created>
  <dcterms:modified xsi:type="dcterms:W3CDTF">2020-03-19T11:38:00Z</dcterms:modified>
</cp:coreProperties>
</file>