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D9" w:rsidRDefault="00BF0BC8">
      <w:pPr>
        <w:spacing w:after="1376" w:line="259" w:lineRule="auto"/>
        <w:ind w:left="0" w:firstLine="0"/>
        <w:jc w:val="left"/>
      </w:pPr>
      <w:r>
        <w:rPr>
          <w:rFonts w:ascii="Calibri" w:eastAsia="Calibri" w:hAnsi="Calibri" w:cs="Calibri"/>
          <w:sz w:val="24"/>
        </w:rPr>
        <w:t xml:space="preserve"> </w:t>
      </w:r>
    </w:p>
    <w:p w:rsidR="001169D9" w:rsidRDefault="00BF0BC8">
      <w:pPr>
        <w:spacing w:after="95" w:line="259" w:lineRule="auto"/>
        <w:ind w:left="0" w:firstLine="0"/>
        <w:jc w:val="left"/>
      </w:pPr>
      <w:r>
        <w:rPr>
          <w:rFonts w:ascii="Calibri" w:eastAsia="Calibri" w:hAnsi="Calibri" w:cs="Calibri"/>
          <w:sz w:val="24"/>
        </w:rPr>
        <w:t xml:space="preserve"> </w:t>
      </w:r>
    </w:p>
    <w:p w:rsidR="001169D9" w:rsidRDefault="00BF0BC8">
      <w:pPr>
        <w:spacing w:after="271"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rPr>
          <w:color w:val="404040"/>
          <w:sz w:val="20"/>
        </w:rPr>
        <w:t xml:space="preserve"> </w:t>
      </w:r>
    </w:p>
    <w:p w:rsidR="001169D9" w:rsidRDefault="00BF0BC8" w:rsidP="00870786">
      <w:pPr>
        <w:pStyle w:val="Ttol1"/>
      </w:pPr>
      <w:r>
        <w:t xml:space="preserve">INSTRUCCIONS PRÈVIES I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 xml:space="preserve">ABAST DE L’INFORME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D’AUDITORIA PER</w:t>
      </w:r>
      <w:r w:rsidR="00870786">
        <w:t xml:space="preserve"> </w:t>
      </w:r>
      <w:r>
        <w:t xml:space="preserve">JUSTIFICAR </w:t>
      </w:r>
      <w:r w:rsidR="00C27E36">
        <w:rPr>
          <w:rFonts w:ascii="Calibri" w:eastAsia="Calibri" w:hAnsi="Calibri" w:cs="Calibri"/>
          <w:color w:val="000000"/>
          <w:sz w:val="37"/>
          <w:vertAlign w:val="superscript"/>
        </w:rPr>
        <w:t xml:space="preserve"> </w:t>
      </w:r>
      <w:r w:rsidR="00C27E36">
        <w:t xml:space="preserve">ELS AJUTS </w:t>
      </w:r>
      <w:r w:rsidR="00E4249E">
        <w:t>A INVERSIONS EMPRESARIALS D’ALT IMPACTE</w:t>
      </w:r>
      <w:r w:rsidR="009F0658">
        <w:t xml:space="preserve"> 20</w:t>
      </w:r>
      <w:r w:rsidR="00AE0F4A">
        <w:t>2</w:t>
      </w:r>
      <w:r w:rsidR="004427FD">
        <w:t>1</w:t>
      </w:r>
    </w:p>
    <w:p w:rsidR="001169D9" w:rsidRDefault="00BF0BC8">
      <w:pPr>
        <w:spacing w:after="137" w:line="259" w:lineRule="auto"/>
        <w:ind w:left="0" w:firstLine="0"/>
        <w:jc w:val="left"/>
      </w:pPr>
      <w:r>
        <w:rPr>
          <w:rFonts w:ascii="Calibri" w:eastAsia="Calibri" w:hAnsi="Calibri" w:cs="Calibri"/>
          <w:sz w:val="24"/>
        </w:rPr>
        <w:t xml:space="preserve"> </w:t>
      </w:r>
    </w:p>
    <w:p w:rsidR="00D22966" w:rsidRPr="00870786" w:rsidRDefault="00D22966" w:rsidP="00870786">
      <w:pPr>
        <w:spacing w:after="176" w:line="259" w:lineRule="auto"/>
        <w:ind w:left="0" w:firstLine="0"/>
        <w:jc w:val="left"/>
      </w:pPr>
      <w:r w:rsidRPr="000C449F">
        <w:rPr>
          <w:rFonts w:asciiTheme="minorHAnsi" w:eastAsia="Calibri" w:hAnsiTheme="minorHAnsi" w:cstheme="minorHAnsi"/>
          <w:color w:val="auto"/>
          <w:sz w:val="36"/>
          <w:szCs w:val="36"/>
        </w:rPr>
        <w:t>Ajuts destinats a inversions empresarials d’alt impacte</w:t>
      </w:r>
      <w:r w:rsidRPr="000C449F">
        <w:rPr>
          <w:rFonts w:asciiTheme="minorHAnsi" w:hAnsiTheme="minorHAnsi" w:cstheme="minorHAnsi"/>
          <w:color w:val="auto"/>
          <w:sz w:val="36"/>
          <w:szCs w:val="36"/>
        </w:rPr>
        <w:t xml:space="preserve"> (Resolució EMC/</w:t>
      </w:r>
      <w:r w:rsidR="00AE0F4A">
        <w:rPr>
          <w:rFonts w:asciiTheme="minorHAnsi" w:hAnsiTheme="minorHAnsi" w:cstheme="minorHAnsi"/>
          <w:color w:val="auto"/>
          <w:sz w:val="36"/>
          <w:szCs w:val="36"/>
        </w:rPr>
        <w:t>1</w:t>
      </w:r>
      <w:r w:rsidR="00BF51DA">
        <w:rPr>
          <w:rFonts w:asciiTheme="minorHAnsi" w:hAnsiTheme="minorHAnsi" w:cstheme="minorHAnsi"/>
          <w:color w:val="auto"/>
          <w:sz w:val="36"/>
          <w:szCs w:val="36"/>
        </w:rPr>
        <w:t>084</w:t>
      </w:r>
      <w:r w:rsidRPr="000C449F">
        <w:rPr>
          <w:rFonts w:asciiTheme="minorHAnsi" w:hAnsiTheme="minorHAnsi" w:cstheme="minorHAnsi"/>
          <w:color w:val="auto"/>
          <w:sz w:val="36"/>
          <w:szCs w:val="36"/>
        </w:rPr>
        <w:t>/20</w:t>
      </w:r>
      <w:r w:rsidR="00AE0F4A">
        <w:rPr>
          <w:rFonts w:asciiTheme="minorHAnsi" w:hAnsiTheme="minorHAnsi" w:cstheme="minorHAnsi"/>
          <w:color w:val="auto"/>
          <w:sz w:val="36"/>
          <w:szCs w:val="36"/>
        </w:rPr>
        <w:t>2</w:t>
      </w:r>
      <w:r w:rsidR="00BF51DA">
        <w:rPr>
          <w:rFonts w:asciiTheme="minorHAnsi" w:hAnsiTheme="minorHAnsi" w:cstheme="minorHAnsi"/>
          <w:color w:val="auto"/>
          <w:sz w:val="36"/>
          <w:szCs w:val="36"/>
        </w:rPr>
        <w:t>1</w:t>
      </w:r>
      <w:r w:rsidRPr="000C449F">
        <w:rPr>
          <w:rFonts w:asciiTheme="minorHAnsi" w:hAnsiTheme="minorHAnsi" w:cstheme="minorHAnsi"/>
          <w:color w:val="auto"/>
          <w:sz w:val="36"/>
          <w:szCs w:val="36"/>
        </w:rPr>
        <w:t xml:space="preserve">, de </w:t>
      </w:r>
      <w:r w:rsidR="00BF51DA">
        <w:rPr>
          <w:rFonts w:asciiTheme="minorHAnsi" w:hAnsiTheme="minorHAnsi" w:cstheme="minorHAnsi"/>
          <w:color w:val="auto"/>
          <w:sz w:val="36"/>
          <w:szCs w:val="36"/>
        </w:rPr>
        <w:t>13</w:t>
      </w:r>
      <w:r w:rsidRPr="000C449F">
        <w:rPr>
          <w:rFonts w:asciiTheme="minorHAnsi" w:hAnsiTheme="minorHAnsi" w:cstheme="minorHAnsi"/>
          <w:color w:val="auto"/>
          <w:sz w:val="36"/>
          <w:szCs w:val="36"/>
        </w:rPr>
        <w:t xml:space="preserve"> d</w:t>
      </w:r>
      <w:r w:rsidR="00BF51DA">
        <w:rPr>
          <w:rFonts w:asciiTheme="minorHAnsi" w:hAnsiTheme="minorHAnsi" w:cstheme="minorHAnsi"/>
          <w:color w:val="auto"/>
          <w:sz w:val="36"/>
          <w:szCs w:val="36"/>
        </w:rPr>
        <w:t>’abril</w:t>
      </w:r>
      <w:r w:rsidRPr="000C449F">
        <w:rPr>
          <w:rFonts w:asciiTheme="minorHAnsi" w:hAnsiTheme="minorHAnsi" w:cstheme="minorHAnsi"/>
          <w:color w:val="auto"/>
          <w:sz w:val="36"/>
          <w:szCs w:val="36"/>
        </w:rPr>
        <w:t xml:space="preserve">  –  </w:t>
      </w:r>
      <w:r w:rsidRPr="000C449F">
        <w:rPr>
          <w:rFonts w:asciiTheme="minorHAnsi" w:eastAsia="Calibri" w:hAnsiTheme="minorHAnsi" w:cstheme="minorHAnsi"/>
          <w:color w:val="auto"/>
          <w:sz w:val="36"/>
          <w:szCs w:val="36"/>
        </w:rPr>
        <w:t xml:space="preserve">DOGC núm. </w:t>
      </w:r>
      <w:r w:rsidR="00AE0F4A">
        <w:rPr>
          <w:rFonts w:asciiTheme="minorHAnsi" w:eastAsia="Calibri" w:hAnsiTheme="minorHAnsi" w:cstheme="minorHAnsi"/>
          <w:color w:val="auto"/>
          <w:sz w:val="36"/>
          <w:szCs w:val="36"/>
        </w:rPr>
        <w:t>8</w:t>
      </w:r>
      <w:r w:rsidR="00BF51DA">
        <w:rPr>
          <w:rFonts w:asciiTheme="minorHAnsi" w:eastAsia="Calibri" w:hAnsiTheme="minorHAnsi" w:cstheme="minorHAnsi"/>
          <w:color w:val="auto"/>
          <w:sz w:val="36"/>
          <w:szCs w:val="36"/>
        </w:rPr>
        <w:t>391</w:t>
      </w:r>
      <w:r w:rsidRPr="000C449F">
        <w:rPr>
          <w:rFonts w:asciiTheme="minorHAnsi" w:eastAsia="Calibri" w:hAnsiTheme="minorHAnsi" w:cstheme="minorHAnsi"/>
          <w:color w:val="auto"/>
          <w:sz w:val="36"/>
          <w:szCs w:val="36"/>
        </w:rPr>
        <w:t xml:space="preserve"> de </w:t>
      </w:r>
      <w:r w:rsidR="00AE0F4A">
        <w:rPr>
          <w:rFonts w:asciiTheme="minorHAnsi" w:eastAsia="Calibri" w:hAnsiTheme="minorHAnsi" w:cstheme="minorHAnsi"/>
          <w:color w:val="auto"/>
          <w:sz w:val="36"/>
          <w:szCs w:val="36"/>
        </w:rPr>
        <w:t>2</w:t>
      </w:r>
      <w:r w:rsidR="00BF51DA">
        <w:rPr>
          <w:rFonts w:asciiTheme="minorHAnsi" w:eastAsia="Calibri" w:hAnsiTheme="minorHAnsi" w:cstheme="minorHAnsi"/>
          <w:color w:val="auto"/>
          <w:sz w:val="36"/>
          <w:szCs w:val="36"/>
        </w:rPr>
        <w:t>1</w:t>
      </w:r>
      <w:r w:rsidRPr="000C449F">
        <w:rPr>
          <w:rFonts w:asciiTheme="minorHAnsi" w:eastAsia="Calibri" w:hAnsiTheme="minorHAnsi" w:cstheme="minorHAnsi"/>
          <w:color w:val="auto"/>
          <w:sz w:val="36"/>
          <w:szCs w:val="36"/>
        </w:rPr>
        <w:t>.0</w:t>
      </w:r>
      <w:r w:rsidR="00BF51DA">
        <w:rPr>
          <w:rFonts w:asciiTheme="minorHAnsi" w:eastAsia="Calibri" w:hAnsiTheme="minorHAnsi" w:cstheme="minorHAnsi"/>
          <w:color w:val="auto"/>
          <w:sz w:val="36"/>
          <w:szCs w:val="36"/>
        </w:rPr>
        <w:t>4</w:t>
      </w:r>
      <w:r w:rsidRPr="000C449F">
        <w:rPr>
          <w:rFonts w:asciiTheme="minorHAnsi" w:eastAsia="Calibri" w:hAnsiTheme="minorHAnsi" w:cstheme="minorHAnsi"/>
          <w:color w:val="auto"/>
          <w:sz w:val="36"/>
          <w:szCs w:val="36"/>
        </w:rPr>
        <w:t>.20</w:t>
      </w:r>
      <w:r w:rsidR="00AE0F4A">
        <w:rPr>
          <w:rFonts w:asciiTheme="minorHAnsi" w:eastAsia="Calibri" w:hAnsiTheme="minorHAnsi" w:cstheme="minorHAnsi"/>
          <w:color w:val="auto"/>
          <w:sz w:val="36"/>
          <w:szCs w:val="36"/>
        </w:rPr>
        <w:t>2</w:t>
      </w:r>
      <w:r w:rsidR="00BF51DA">
        <w:rPr>
          <w:rFonts w:asciiTheme="minorHAnsi" w:eastAsia="Calibri" w:hAnsiTheme="minorHAnsi" w:cstheme="minorHAnsi"/>
          <w:color w:val="auto"/>
          <w:sz w:val="36"/>
          <w:szCs w:val="36"/>
        </w:rPr>
        <w:t>1</w:t>
      </w:r>
      <w:r w:rsidRPr="000C449F">
        <w:rPr>
          <w:rFonts w:asciiTheme="minorHAnsi" w:eastAsia="Calibri" w:hAnsiTheme="minorHAnsi" w:cstheme="minorHAnsi"/>
          <w:color w:val="auto"/>
          <w:sz w:val="36"/>
          <w:szCs w:val="36"/>
        </w:rPr>
        <w:t>)</w:t>
      </w:r>
      <w:r w:rsidRPr="000C449F">
        <w:rPr>
          <w:rFonts w:asciiTheme="minorHAnsi" w:hAnsiTheme="minorHAnsi" w:cstheme="minorHAnsi"/>
          <w:color w:val="auto"/>
          <w:sz w:val="36"/>
          <w:szCs w:val="36"/>
        </w:rPr>
        <w:t xml:space="preserve"> </w:t>
      </w:r>
    </w:p>
    <w:p w:rsidR="001169D9" w:rsidRDefault="00BF0BC8" w:rsidP="00091F35">
      <w:pPr>
        <w:tabs>
          <w:tab w:val="center" w:pos="4325"/>
        </w:tabs>
        <w:spacing w:after="0" w:line="259" w:lineRule="auto"/>
        <w:ind w:left="-15" w:firstLine="0"/>
        <w:jc w:val="left"/>
      </w:pPr>
      <w:r>
        <w:rPr>
          <w:noProof/>
        </w:rPr>
        <w:drawing>
          <wp:anchor distT="0" distB="0" distL="114300" distR="114300" simplePos="0" relativeHeight="251658240" behindDoc="0" locked="0" layoutInCell="1" allowOverlap="0" wp14:anchorId="43CB163D" wp14:editId="61210A62">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E4249E"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AE0F4A">
        <w:rPr>
          <w:color w:val="404040"/>
          <w:sz w:val="28"/>
        </w:rPr>
        <w:t>14 de juny</w:t>
      </w:r>
      <w:r w:rsidR="00085C72">
        <w:rPr>
          <w:color w:val="404040"/>
          <w:sz w:val="28"/>
        </w:rPr>
        <w:t xml:space="preserve"> de 202</w:t>
      </w:r>
      <w:r w:rsidR="00BF51DA">
        <w:rPr>
          <w:color w:val="404040"/>
          <w:sz w:val="28"/>
        </w:rPr>
        <w:t>2</w:t>
      </w: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1169D9" w:rsidRDefault="00BF0BC8">
      <w:pPr>
        <w:tabs>
          <w:tab w:val="center" w:pos="2519"/>
        </w:tabs>
        <w:spacing w:after="29" w:line="259" w:lineRule="auto"/>
        <w:ind w:left="0" w:firstLine="0"/>
        <w:jc w:val="left"/>
      </w:pPr>
      <w:r>
        <w:rPr>
          <w:color w:val="404040"/>
          <w:sz w:val="32"/>
        </w:rPr>
        <w:t xml:space="preserve"> </w:t>
      </w:r>
    </w:p>
    <w:p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rsidR="001169D9" w:rsidRDefault="00BF0BC8">
      <w:pPr>
        <w:spacing w:after="0" w:line="259" w:lineRule="auto"/>
        <w:ind w:left="0" w:right="229" w:firstLine="0"/>
        <w:jc w:val="left"/>
      </w:pPr>
      <w:r>
        <w:rPr>
          <w:rFonts w:ascii="Calibri" w:eastAsia="Calibri" w:hAnsi="Calibri" w:cs="Calibri"/>
          <w:sz w:val="24"/>
        </w:rPr>
        <w:t xml:space="preserve"> </w:t>
      </w:r>
    </w:p>
    <w:p w:rsidR="001169D9" w:rsidRDefault="00BF0BC8">
      <w:pPr>
        <w:tabs>
          <w:tab w:val="right" w:pos="9642"/>
        </w:tabs>
        <w:spacing w:after="0" w:line="259" w:lineRule="auto"/>
        <w:ind w:left="0" w:firstLine="0"/>
        <w:jc w:val="left"/>
      </w:pPr>
      <w:r>
        <w:rPr>
          <w:rFonts w:ascii="Calibri" w:eastAsia="Calibri" w:hAnsi="Calibri" w:cs="Calibri"/>
          <w:sz w:val="24"/>
        </w:rPr>
        <w:t xml:space="preserve"> </w:t>
      </w:r>
      <w:r>
        <w:rPr>
          <w:noProof/>
        </w:rPr>
        <w:drawing>
          <wp:inline distT="0" distB="0" distL="0" distR="0">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r>
        <w:rPr>
          <w:rFonts w:ascii="Calibri" w:eastAsia="Calibri" w:hAnsi="Calibri" w:cs="Calibri"/>
          <w:sz w:val="22"/>
        </w:rPr>
        <w:tab/>
      </w:r>
    </w:p>
    <w:p w:rsidR="001169D9" w:rsidRDefault="001169D9" w:rsidP="00ED2A47">
      <w:pPr>
        <w:spacing w:after="34" w:line="259" w:lineRule="auto"/>
        <w:ind w:left="0" w:firstLine="0"/>
        <w:jc w:val="left"/>
      </w:pPr>
    </w:p>
    <w:p w:rsidR="001169D9" w:rsidRDefault="00BF0BC8">
      <w:pPr>
        <w:shd w:val="clear" w:color="auto" w:fill="B4ABA2"/>
        <w:spacing w:after="145" w:line="259" w:lineRule="auto"/>
        <w:ind w:left="0" w:firstLine="0"/>
        <w:jc w:val="left"/>
      </w:pPr>
      <w:r w:rsidRPr="00870786">
        <w:rPr>
          <w:color w:val="auto"/>
          <w:sz w:val="28"/>
        </w:rPr>
        <w:t>1.</w:t>
      </w:r>
      <w:r>
        <w:rPr>
          <w:b/>
          <w:color w:val="FFFFFF"/>
          <w:sz w:val="28"/>
        </w:rPr>
        <w:t xml:space="preserve"> </w:t>
      </w:r>
      <w:r w:rsidRPr="00870786">
        <w:rPr>
          <w:color w:val="auto"/>
          <w:sz w:val="28"/>
        </w:rPr>
        <w:t xml:space="preserve">Instruccions prèvies </w:t>
      </w:r>
    </w:p>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trPr>
          <w:trHeight w:val="343"/>
        </w:trPr>
        <w:tc>
          <w:tcPr>
            <w:tcW w:w="454" w:type="dxa"/>
            <w:tcBorders>
              <w:top w:val="nil"/>
              <w:left w:val="nil"/>
              <w:bottom w:val="nil"/>
              <w:right w:val="nil"/>
            </w:tcBorders>
            <w:shd w:val="clear" w:color="auto" w:fill="B4ABA2"/>
          </w:tcPr>
          <w:p w:rsidR="001169D9" w:rsidRDefault="00BF0BC8">
            <w:pPr>
              <w:spacing w:after="0" w:line="259" w:lineRule="auto"/>
              <w:ind w:left="29" w:firstLine="0"/>
            </w:pPr>
            <w:r w:rsidRPr="00870786">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rsidR="001169D9" w:rsidRDefault="00BF0BC8">
            <w:pPr>
              <w:spacing w:after="0" w:line="259" w:lineRule="auto"/>
              <w:ind w:left="0" w:firstLine="0"/>
              <w:jc w:val="left"/>
            </w:pPr>
            <w:r w:rsidRPr="00870786">
              <w:rPr>
                <w:color w:val="auto"/>
                <w:sz w:val="28"/>
              </w:rPr>
              <w:t xml:space="preserve">Abast </w:t>
            </w:r>
          </w:p>
        </w:tc>
      </w:tr>
      <w:tr w:rsidR="001169D9">
        <w:trPr>
          <w:trHeight w:val="254"/>
        </w:trPr>
        <w:tc>
          <w:tcPr>
            <w:tcW w:w="454" w:type="dxa"/>
            <w:tcBorders>
              <w:top w:val="nil"/>
              <w:left w:val="nil"/>
              <w:bottom w:val="nil"/>
              <w:right w:val="nil"/>
            </w:tcBorders>
          </w:tcPr>
          <w:p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rsidR="001169D9" w:rsidRDefault="001169D9">
            <w:pPr>
              <w:spacing w:after="160" w:line="259" w:lineRule="auto"/>
              <w:ind w:left="0" w:firstLine="0"/>
              <w:jc w:val="left"/>
            </w:pPr>
          </w:p>
        </w:tc>
      </w:tr>
      <w:tr w:rsidR="001169D9">
        <w:trPr>
          <w:trHeight w:val="295"/>
        </w:trPr>
        <w:tc>
          <w:tcPr>
            <w:tcW w:w="454" w:type="dxa"/>
            <w:tcBorders>
              <w:top w:val="nil"/>
              <w:left w:val="nil"/>
              <w:bottom w:val="nil"/>
              <w:right w:val="nil"/>
            </w:tcBorders>
            <w:shd w:val="clear" w:color="auto" w:fill="D6D1CC"/>
          </w:tcPr>
          <w:p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rsidR="001169D9" w:rsidRDefault="00BF0BC8">
            <w:pPr>
              <w:spacing w:after="0" w:line="259" w:lineRule="auto"/>
              <w:ind w:left="151" w:firstLine="0"/>
              <w:jc w:val="left"/>
            </w:pPr>
            <w:r>
              <w:rPr>
                <w:sz w:val="24"/>
              </w:rPr>
              <w:t xml:space="preserve">Actuacions preparatòries per a l’emissió de l’informe de l’auditor </w:t>
            </w:r>
          </w:p>
        </w:tc>
      </w:tr>
    </w:tbl>
    <w:p w:rsidR="00280680" w:rsidRDefault="00280680">
      <w:pPr>
        <w:ind w:left="0" w:firstLine="0"/>
      </w:pPr>
    </w:p>
    <w:p w:rsidR="001169D9" w:rsidRDefault="00BF0BC8">
      <w:pPr>
        <w:ind w:left="0" w:firstLine="0"/>
      </w:pPr>
      <w:r>
        <w:t xml:space="preserve">Aquest informe s’haurà de referir a la totalitat de les despeses relacionades al document </w:t>
      </w:r>
      <w:r w:rsidR="00C569E0">
        <w:t>Compte Justificatiu</w:t>
      </w:r>
      <w:r>
        <w:t xml:space="preserve">, que forma part de l’imprès de justificació que es troba a la pàgina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t>Identificació de la relació classificada de despeses realitzades, el compte justificatiu (totes aquelles que formen part de</w:t>
      </w:r>
      <w:r w:rsidR="00C569E0">
        <w:t>l Compte Justificatiu</w:t>
      </w:r>
      <w:r>
        <w:t xml:space="preserve"> dins de l’imprès de justificació que es troba a la pàgina web d’ACCIÓ) que serà objecte de la revisió i que s’acompanyarà com a annex a l’informe, amb totes les pàgines segellades i signades </w:t>
      </w:r>
      <w:r w:rsidR="00C569E0">
        <w:t xml:space="preserve">telemàticament </w:t>
      </w:r>
      <w:r>
        <w:t xml:space="preserve">per l’auditor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rsidR="001169D9" w:rsidRDefault="00BF0BC8">
      <w:pPr>
        <w:numPr>
          <w:ilvl w:val="0"/>
          <w:numId w:val="1"/>
        </w:numPr>
        <w:spacing w:after="263"/>
        <w:ind w:hanging="360"/>
      </w:pPr>
      <w:r>
        <w:lastRenderedPageBreak/>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trPr>
          <w:trHeight w:val="295"/>
        </w:trPr>
        <w:tc>
          <w:tcPr>
            <w:tcW w:w="605" w:type="dxa"/>
            <w:tcBorders>
              <w:top w:val="nil"/>
              <w:left w:val="nil"/>
              <w:bottom w:val="nil"/>
              <w:right w:val="nil"/>
            </w:tcBorders>
            <w:shd w:val="clear" w:color="auto" w:fill="D6D1CC"/>
          </w:tcPr>
          <w:p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rsidR="001169D9" w:rsidRDefault="00BF0BC8">
            <w:pPr>
              <w:spacing w:after="0" w:line="259" w:lineRule="auto"/>
              <w:ind w:left="0" w:firstLine="0"/>
              <w:jc w:val="left"/>
            </w:pPr>
            <w:r>
              <w:rPr>
                <w:sz w:val="24"/>
              </w:rPr>
              <w:t xml:space="preserve">Procediment general de revisió del compte justificatiu: </w:t>
            </w:r>
          </w:p>
        </w:tc>
      </w:tr>
    </w:tbl>
    <w:p w:rsidR="00280680" w:rsidRDefault="00280680" w:rsidP="00280680">
      <w:pPr>
        <w:ind w:left="705" w:firstLine="0"/>
      </w:pPr>
    </w:p>
    <w:p w:rsidR="001169D9" w:rsidRDefault="00BF0BC8">
      <w:pPr>
        <w:numPr>
          <w:ilvl w:val="0"/>
          <w:numId w:val="2"/>
        </w:numPr>
        <w:ind w:hanging="360"/>
      </w:pPr>
      <w:r>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Default="00BF0BC8">
      <w:pPr>
        <w:spacing w:after="167"/>
        <w:ind w:left="1419" w:hanging="425"/>
      </w:pPr>
      <w:r>
        <w:rPr>
          <w:rFonts w:ascii="Segoe UI Symbol" w:eastAsia="Segoe UI Symbol" w:hAnsi="Segoe UI Symbol" w:cs="Segoe UI Symbol"/>
          <w:sz w:val="20"/>
        </w:rPr>
        <w:t>→</w:t>
      </w:r>
      <w:r>
        <w:rPr>
          <w:b/>
          <w:sz w:val="20"/>
        </w:rPr>
        <w:t xml:space="preserve"> </w:t>
      </w:r>
      <w:r>
        <w:t>“Instruccions prèvies i abast de l’informe d’auditoria per justificar</w:t>
      </w:r>
      <w:r w:rsidR="00280680">
        <w:t xml:space="preserve"> els ajuts </w:t>
      </w:r>
      <w:r w:rsidR="00040845">
        <w:t>a inversions</w:t>
      </w:r>
      <w:r w:rsidR="00851CF9">
        <w:t xml:space="preserve"> empresarials d’alt impacte 20</w:t>
      </w:r>
      <w:r w:rsidR="000371EC">
        <w:t>2</w:t>
      </w:r>
      <w:r w:rsidR="00BF51DA">
        <w:t>1</w:t>
      </w:r>
      <w:r w:rsidR="00040845">
        <w:t xml:space="preserve"> (a</w:t>
      </w:r>
      <w:r>
        <w:t xml:space="preserve"> partir d’ara document “A</w:t>
      </w:r>
      <w:r w:rsidR="00040845">
        <w:t>bast de l’informe d’auditoria”).</w:t>
      </w:r>
    </w:p>
    <w:p w:rsidR="001169D9" w:rsidRDefault="00BF0BC8">
      <w:pPr>
        <w:spacing w:after="166"/>
        <w:ind w:left="1419" w:hanging="425"/>
      </w:pPr>
      <w:r>
        <w:rPr>
          <w:rFonts w:ascii="Segoe UI Symbol" w:eastAsia="Segoe UI Symbol" w:hAnsi="Segoe UI Symbol" w:cs="Segoe UI Symbol"/>
          <w:sz w:val="20"/>
        </w:rPr>
        <w:t>→</w:t>
      </w:r>
      <w:r>
        <w:rPr>
          <w:b/>
          <w:sz w:val="20"/>
        </w:rPr>
        <w:t xml:space="preserve"> </w:t>
      </w:r>
      <w:r>
        <w:t>“</w:t>
      </w:r>
      <w:r w:rsidR="007F3775" w:rsidRPr="007F3775">
        <w:t xml:space="preserve">Guia de Justificació. Inversions empresarials d'alt impacte </w:t>
      </w:r>
      <w:r w:rsidR="00BF51DA">
        <w:t xml:space="preserve">2021 </w:t>
      </w:r>
      <w:r w:rsidR="007F3775" w:rsidRPr="007F3775">
        <w:t>(ACE0</w:t>
      </w:r>
      <w:r w:rsidR="00BF51DA">
        <w:t>29</w:t>
      </w:r>
      <w:r w:rsidR="007F3775" w:rsidRPr="007F3775">
        <w:t>) de 1 de juny de 202</w:t>
      </w:r>
      <w:r w:rsidR="00BF51DA">
        <w:t>2</w:t>
      </w:r>
      <w:r w:rsidR="007F3775">
        <w:t xml:space="preserve">, </w:t>
      </w:r>
      <w:r w:rsidR="00040845">
        <w:t>a</w:t>
      </w:r>
      <w:r>
        <w:t xml:space="preserve"> partir d’ara</w:t>
      </w:r>
      <w:r w:rsidR="007F3775">
        <w:t xml:space="preserve"> Guia de Justificació.</w:t>
      </w:r>
    </w:p>
    <w:p w:rsidR="001169D9" w:rsidRDefault="00BF0BC8">
      <w:pPr>
        <w:numPr>
          <w:ilvl w:val="0"/>
          <w:numId w:val="2"/>
        </w:numPr>
        <w:ind w:hanging="360"/>
      </w:pPr>
      <w:r>
        <w:t xml:space="preserve">Revisió de la totalitat de les despeses relacionades al </w:t>
      </w:r>
      <w:r w:rsidR="007F3775">
        <w:t>C</w:t>
      </w:r>
      <w:r>
        <w:t xml:space="preserve">ompte </w:t>
      </w:r>
      <w:r w:rsidR="007F3775">
        <w:t>J</w:t>
      </w:r>
      <w:r>
        <w:t>ustificatiu, que forma part de l’imprès de justificació que es troba a la pàgina web d’ACCIÓ amb l’abast que es descriu a</w:t>
      </w:r>
      <w:r w:rsidR="007F3775">
        <w:t xml:space="preserve"> la Guia de Justificació.</w:t>
      </w:r>
      <w:r>
        <w:t xml:space="preserve"> </w:t>
      </w:r>
    </w:p>
    <w:p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7F3775">
        <w:t xml:space="preserve"> Compte Justificatiu</w:t>
      </w:r>
      <w:r>
        <w:t xml:space="preserve"> i a les instruccions d</w:t>
      </w:r>
      <w:r w:rsidR="007F3775">
        <w:t>e la Guia de Justificació.</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pPr>
        <w:spacing w:after="0" w:line="259" w:lineRule="auto"/>
        <w:ind w:left="0" w:firstLine="0"/>
        <w:jc w:val="left"/>
      </w:pPr>
      <w:r>
        <w:rPr>
          <w:sz w:val="2"/>
        </w:rPr>
        <w:t xml:space="preserve"> </w:t>
      </w:r>
    </w:p>
    <w:p w:rsidR="001169D9" w:rsidRDefault="00BF0BC8">
      <w:pPr>
        <w:spacing w:after="0" w:line="259" w:lineRule="auto"/>
        <w:ind w:left="0" w:firstLine="0"/>
      </w:pPr>
      <w:r>
        <w:t xml:space="preserve"> </w:t>
      </w:r>
    </w:p>
    <w:p w:rsidR="001169D9" w:rsidRDefault="00BF0BC8">
      <w:pPr>
        <w:spacing w:after="0" w:line="259" w:lineRule="auto"/>
        <w:ind w:left="0" w:firstLine="0"/>
      </w:pPr>
      <w: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870786">
      <w:rPr>
        <w:i/>
        <w:color w:val="auto"/>
        <w:sz w:val="14"/>
      </w:rPr>
      <w:t xml:space="preserve">Pàgina </w:t>
    </w:r>
    <w:r w:rsidRPr="00870786">
      <w:rPr>
        <w:color w:val="auto"/>
      </w:rPr>
      <w:fldChar w:fldCharType="begin"/>
    </w:r>
    <w:r w:rsidRPr="00870786">
      <w:rPr>
        <w:color w:val="auto"/>
      </w:rPr>
      <w:instrText xml:space="preserve"> PAGE   \* MERGEFORMAT </w:instrText>
    </w:r>
    <w:r w:rsidRPr="00870786">
      <w:rPr>
        <w:color w:val="auto"/>
      </w:rPr>
      <w:fldChar w:fldCharType="separate"/>
    </w:r>
    <w:r w:rsidRPr="00870786">
      <w:rPr>
        <w:i/>
        <w:color w:val="auto"/>
        <w:sz w:val="14"/>
      </w:rPr>
      <w:t>2</w:t>
    </w:r>
    <w:r w:rsidRPr="00870786">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1169D9">
    <w:pPr>
      <w:spacing w:after="0" w:line="259" w:lineRule="auto"/>
      <w:ind w:left="0" w:right="663" w:firstLine="0"/>
      <w:jc w:val="right"/>
    </w:pP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870786" w:rsidP="00870786">
    <w:pPr>
      <w:spacing w:after="0" w:line="259" w:lineRule="auto"/>
      <w:jc w:val="right"/>
    </w:pPr>
    <w:r>
      <w:rPr>
        <w:sz w:val="14"/>
      </w:rPr>
      <w:t>Abast informe auditoria alt impacte 2021</w:t>
    </w:r>
  </w:p>
  <w:p w:rsidR="001169D9" w:rsidRDefault="00EF22DC">
    <w:pPr>
      <w:spacing w:after="0" w:line="259" w:lineRule="auto"/>
      <w:ind w:left="0" w:right="5" w:firstLine="0"/>
      <w:jc w:val="right"/>
    </w:pPr>
    <w:r>
      <w:rPr>
        <w:sz w:val="14"/>
      </w:rPr>
      <w:t xml:space="preserve"> Versió, 2 , </w:t>
    </w:r>
    <w:bookmarkStart w:id="0" w:name="_GoBack"/>
    <w:bookmarkEnd w:id="0"/>
    <w:r w:rsidR="00870786">
      <w:rPr>
        <w:sz w:val="14"/>
      </w:rPr>
      <w:t>14 de juny de 2022</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371EC"/>
    <w:rsid w:val="00040845"/>
    <w:rsid w:val="00085C72"/>
    <w:rsid w:val="00091F35"/>
    <w:rsid w:val="001169D9"/>
    <w:rsid w:val="001B2FE2"/>
    <w:rsid w:val="002705F6"/>
    <w:rsid w:val="00280680"/>
    <w:rsid w:val="002A1928"/>
    <w:rsid w:val="003B1D2A"/>
    <w:rsid w:val="004427FD"/>
    <w:rsid w:val="0056620A"/>
    <w:rsid w:val="00596E84"/>
    <w:rsid w:val="00727C09"/>
    <w:rsid w:val="007F3775"/>
    <w:rsid w:val="00851CF9"/>
    <w:rsid w:val="00870786"/>
    <w:rsid w:val="009F0658"/>
    <w:rsid w:val="00AE0F4A"/>
    <w:rsid w:val="00B73912"/>
    <w:rsid w:val="00BA10E9"/>
    <w:rsid w:val="00BF0BC8"/>
    <w:rsid w:val="00BF51DA"/>
    <w:rsid w:val="00C11465"/>
    <w:rsid w:val="00C27E36"/>
    <w:rsid w:val="00C569E0"/>
    <w:rsid w:val="00D13222"/>
    <w:rsid w:val="00D22966"/>
    <w:rsid w:val="00E4249E"/>
    <w:rsid w:val="00ED2A47"/>
    <w:rsid w:val="00EF22DC"/>
    <w:rsid w:val="00F11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391B03"/>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A371-7D67-43DC-922D-639D4118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4283</Characters>
  <Application>Microsoft Office Word</Application>
  <DocSecurity>4</DocSecurity>
  <Lines>35</Lines>
  <Paragraphs>10</Paragraphs>
  <ScaleCrop>false</ScaleCrop>
  <HeadingPairs>
    <vt:vector size="2" baseType="variant">
      <vt:variant>
        <vt:lpstr>Títol</vt:lpstr>
      </vt:variant>
      <vt:variant>
        <vt:i4>1</vt:i4>
      </vt:variant>
    </vt:vector>
  </HeadingPairs>
  <TitlesOfParts>
    <vt:vector size="1" baseType="lpstr">
      <vt:lpstr>Abast informe auditoria Alt impacte 2021</vt:lpstr>
    </vt:vector>
  </TitlesOfParts>
  <Company>ACCIÓ - Generalitat de Catalunya</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Alt impacte 2021</dc:title>
  <dc:subject>Abast informe auditoria Alt impacte 2021</dc:subject>
  <dc:creator>ACCIÓ</dc:creator>
  <cp:keywords>abst, informe, auditoria, alt, impacte.</cp:keywords>
  <cp:lastModifiedBy>Mireia Raurell</cp:lastModifiedBy>
  <cp:revision>2</cp:revision>
  <dcterms:created xsi:type="dcterms:W3CDTF">2022-06-14T11:17:00Z</dcterms:created>
  <dcterms:modified xsi:type="dcterms:W3CDTF">2022-06-14T11:17:00Z</dcterms:modified>
</cp:coreProperties>
</file>